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小标宋_GBK" w:cs="Times New Roman"/>
          <w:sz w:val="52"/>
          <w:szCs w:val="52"/>
          <w:lang w:val="en-US" w:eastAsia="zh-CN"/>
        </w:rPr>
      </w:pPr>
    </w:p>
    <w:p>
      <w:pPr>
        <w:jc w:val="center"/>
        <w:rPr>
          <w:rFonts w:hint="default" w:ascii="Times New Roman" w:hAnsi="Times New Roman" w:eastAsia="方正小标宋_GBK" w:cs="Times New Roman"/>
          <w:sz w:val="52"/>
          <w:szCs w:val="52"/>
          <w:lang w:val="en-US" w:eastAsia="zh-CN"/>
        </w:rPr>
      </w:pPr>
    </w:p>
    <w:p>
      <w:pPr>
        <w:jc w:val="center"/>
        <w:rPr>
          <w:rFonts w:hint="default" w:ascii="Times New Roman" w:hAnsi="Times New Roman" w:eastAsia="方正小标宋_GBK" w:cs="Times New Roman"/>
          <w:sz w:val="52"/>
          <w:szCs w:val="52"/>
          <w:lang w:val="en-US" w:eastAsia="zh-CN"/>
        </w:rPr>
      </w:pPr>
    </w:p>
    <w:p>
      <w:pPr>
        <w:jc w:val="center"/>
        <w:rPr>
          <w:rFonts w:hint="default" w:ascii="Times New Roman" w:hAnsi="Times New Roman" w:eastAsia="方正小标宋_GBK" w:cs="Times New Roman"/>
          <w:sz w:val="52"/>
          <w:szCs w:val="52"/>
          <w:lang w:val="en-US" w:eastAsia="zh-CN"/>
        </w:rPr>
      </w:pPr>
    </w:p>
    <w:p>
      <w:pPr>
        <w:jc w:val="center"/>
        <w:rPr>
          <w:rFonts w:hint="default" w:ascii="Times New Roman" w:hAnsi="Times New Roman" w:eastAsia="方正小标宋_GBK" w:cs="Times New Roman"/>
          <w:sz w:val="52"/>
          <w:szCs w:val="52"/>
          <w:lang w:val="en-US" w:eastAsia="zh-CN"/>
        </w:rPr>
      </w:pPr>
    </w:p>
    <w:p>
      <w:pPr>
        <w:jc w:val="center"/>
        <w:outlineLvl w:val="0"/>
        <w:rPr>
          <w:rFonts w:hint="eastAsia" w:ascii="Times New Roman" w:hAnsi="Times New Roman" w:eastAsia="方正小标宋_GBK" w:cs="Times New Roman"/>
          <w:sz w:val="52"/>
          <w:szCs w:val="52"/>
          <w:lang w:val="en-US" w:eastAsia="zh-CN"/>
        </w:rPr>
      </w:pPr>
      <w:r>
        <w:rPr>
          <w:rFonts w:hint="default" w:ascii="Times New Roman" w:hAnsi="Times New Roman" w:eastAsia="方正小标宋_GBK" w:cs="Times New Roman"/>
          <w:sz w:val="52"/>
          <w:szCs w:val="52"/>
          <w:lang w:val="en-US" w:eastAsia="zh-CN"/>
        </w:rPr>
        <w:t>2024</w:t>
      </w:r>
      <w:r>
        <w:rPr>
          <w:rFonts w:hint="default" w:ascii="Times New Roman" w:hAnsi="Times New Roman" w:eastAsia="方正小标宋_GBK" w:cs="Times New Roman"/>
          <w:sz w:val="52"/>
          <w:szCs w:val="52"/>
        </w:rPr>
        <w:t>年</w:t>
      </w:r>
      <w:r>
        <w:rPr>
          <w:rFonts w:hint="default" w:ascii="Times New Roman" w:hAnsi="Times New Roman" w:eastAsia="方正小标宋_GBK" w:cs="Times New Roman"/>
          <w:sz w:val="52"/>
          <w:szCs w:val="52"/>
          <w:lang w:val="en-US" w:eastAsia="zh-CN"/>
        </w:rPr>
        <w:t>中国</w:t>
      </w:r>
      <w:r>
        <w:rPr>
          <w:rFonts w:hint="eastAsia" w:ascii="Times New Roman" w:hAnsi="Times New Roman" w:eastAsia="方正小标宋_GBK" w:cs="Times New Roman"/>
          <w:sz w:val="52"/>
          <w:szCs w:val="52"/>
          <w:lang w:val="en-US" w:eastAsia="zh-CN"/>
        </w:rPr>
        <w:t>国民党革命委员会</w:t>
      </w:r>
    </w:p>
    <w:p>
      <w:pPr>
        <w:jc w:val="center"/>
        <w:outlineLvl w:val="0"/>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lang w:val="en-US" w:eastAsia="zh-CN"/>
        </w:rPr>
        <w:t>三亚市委员会</w:t>
      </w:r>
      <w:r>
        <w:rPr>
          <w:rFonts w:hint="default" w:ascii="Times New Roman" w:hAnsi="Times New Roman" w:eastAsia="方正小标宋_GBK" w:cs="Times New Roman"/>
          <w:sz w:val="52"/>
          <w:szCs w:val="52"/>
        </w:rPr>
        <w:t>部门预算</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录</w:t>
      </w:r>
    </w:p>
    <w:p>
      <w:pPr>
        <w:rPr>
          <w:rFonts w:hint="default" w:ascii="Times New Roman" w:hAnsi="Times New Roman" w:cs="Times New Roman"/>
        </w:rPr>
      </w:pPr>
    </w:p>
    <w:p>
      <w:pPr>
        <w:outlineLvl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第一部分</w:t>
      </w: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val="en-US" w:eastAsia="zh-CN"/>
        </w:rPr>
        <w:t>概况</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一、主要职能</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二、部门预算单位构成</w:t>
      </w:r>
    </w:p>
    <w:p>
      <w:pPr>
        <w:outlineLvl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第二部分</w:t>
      </w:r>
      <w:r>
        <w:rPr>
          <w:rFonts w:hint="default" w:ascii="Times New Roman" w:hAnsi="Times New Roman" w:eastAsia="仿宋_GB2312" w:cs="Times New Roman"/>
          <w:sz w:val="32"/>
          <w:szCs w:val="32"/>
        </w:rPr>
        <w:t xml:space="preserve">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三亚市委员会2024</w:t>
      </w:r>
      <w:r>
        <w:rPr>
          <w:rFonts w:hint="default" w:ascii="Times New Roman" w:hAnsi="Times New Roman" w:eastAsia="黑体" w:cs="Times New Roman"/>
          <w:sz w:val="32"/>
          <w:szCs w:val="32"/>
        </w:rPr>
        <w:t>年部门预算表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一、财政拨款收支总表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二、一般公共预算支出表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三、一般公共预算基本支出表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四、一般公共预算“三公”经费支出表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五、政府性基金预算支出表。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六、政府性基金预算“三公”经费支出表</w:t>
      </w:r>
    </w:p>
    <w:p>
      <w:pPr>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七、部门收支总表</w:t>
      </w:r>
    </w:p>
    <w:p>
      <w:pPr>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八、部门收入总表</w:t>
      </w:r>
    </w:p>
    <w:p>
      <w:pPr>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九、部门支出总表</w:t>
      </w:r>
    </w:p>
    <w:p>
      <w:pPr>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十、项目支出绩效信息表</w:t>
      </w: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三亚市委员会2024</w:t>
      </w:r>
      <w:r>
        <w:rPr>
          <w:rFonts w:hint="default" w:ascii="Times New Roman" w:hAnsi="Times New Roman" w:eastAsia="黑体" w:cs="Times New Roman"/>
          <w:sz w:val="32"/>
          <w:szCs w:val="32"/>
        </w:rPr>
        <w:t>年部门预算情况说明</w:t>
      </w: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第四部分   名词解释</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三亚市委员会部门</w:t>
      </w:r>
      <w:r>
        <w:rPr>
          <w:rFonts w:hint="default" w:ascii="Times New Roman" w:hAnsi="Times New Roman" w:eastAsia="黑体" w:cs="Times New Roman"/>
          <w:sz w:val="32"/>
          <w:szCs w:val="32"/>
        </w:rPr>
        <w:t>概况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一、主要职能</w:t>
      </w:r>
    </w:p>
    <w:p>
      <w:pPr>
        <w:pStyle w:val="2"/>
        <w:keepNext/>
        <w:keepLines/>
        <w:widowControl w:val="0"/>
        <w:suppressLineNumbers w:val="0"/>
        <w:autoSpaceDE w:val="0"/>
        <w:autoSpaceDN/>
        <w:spacing w:before="0" w:beforeAutospacing="0" w:after="0" w:afterAutospacing="0" w:line="520" w:lineRule="exact"/>
        <w:ind w:left="0" w:leftChars="0" w:right="0" w:rightChars="0" w:firstLine="640" w:firstLineChars="200"/>
        <w:jc w:val="both"/>
        <w:outlineLvl w:val="1"/>
        <w:rPr>
          <w:rFonts w:hint="default" w:ascii="Times New Roman" w:hAnsi="Times New Roman" w:eastAsia="仿宋" w:cs="Times New Roman"/>
          <w:b w:val="0"/>
          <w:bCs/>
          <w:kern w:val="0"/>
          <w:sz w:val="32"/>
          <w:szCs w:val="32"/>
        </w:rPr>
      </w:pPr>
      <w:r>
        <w:rPr>
          <w:rFonts w:hint="default" w:ascii="Times New Roman" w:hAnsi="Times New Roman" w:eastAsia="仿宋" w:cs="Times New Roman"/>
          <w:b w:val="0"/>
          <w:bCs/>
          <w:kern w:val="0"/>
          <w:sz w:val="32"/>
          <w:szCs w:val="32"/>
        </w:rPr>
        <w:t>中国国民党革命委员会</w:t>
      </w:r>
      <w:r>
        <w:rPr>
          <w:rFonts w:hint="eastAsia" w:ascii="Times New Roman" w:hAnsi="Times New Roman" w:eastAsia="仿宋" w:cs="Times New Roman"/>
          <w:b w:val="0"/>
          <w:bCs/>
          <w:kern w:val="0"/>
          <w:sz w:val="32"/>
          <w:szCs w:val="32"/>
          <w:lang w:eastAsia="zh-CN"/>
        </w:rPr>
        <w:t>三亚市委员会</w:t>
      </w:r>
      <w:r>
        <w:rPr>
          <w:rFonts w:hint="default" w:ascii="Times New Roman" w:hAnsi="Times New Roman" w:eastAsia="仿宋" w:cs="Times New Roman"/>
          <w:b w:val="0"/>
          <w:bCs/>
          <w:kern w:val="0"/>
          <w:sz w:val="32"/>
          <w:szCs w:val="32"/>
        </w:rPr>
        <w:t>(以下简称民革）是以原中国国民党有渊源关系的人士，同民革有历史联系和社会联系的人士，同台湾各界有联系的人士，以及其他人士为对象，着重吸收其中有代表性的中上层人士中高级知识分子为主的、具有政治联盟性质的、致力于建设中国特色社会主义和祖国统一事业的参政党。中国国民党革命委员会三亚市委员会是中国国民党革命委员会的地方组织。</w:t>
      </w:r>
    </w:p>
    <w:p>
      <w:pPr>
        <w:autoSpaceDE w:val="0"/>
        <w:spacing w:line="520" w:lineRule="exact"/>
        <w:ind w:left="0" w:firstLine="640" w:firstLineChars="200"/>
        <w:jc w:val="both"/>
        <w:outlineLvl w:val="1"/>
        <w:rPr>
          <w:rFonts w:ascii="黑体" w:hAnsi="黑体" w:eastAsia="黑体" w:cs="仿宋_GB2312"/>
          <w:sz w:val="32"/>
          <w:szCs w:val="32"/>
        </w:rPr>
      </w:pPr>
      <w:r>
        <w:rPr>
          <w:rFonts w:hint="default" w:ascii="Times New Roman" w:hAnsi="Times New Roman" w:eastAsia="仿宋" w:cs="Times New Roman"/>
          <w:kern w:val="0"/>
          <w:sz w:val="32"/>
          <w:szCs w:val="32"/>
        </w:rPr>
        <w:t>（1）坚持中国共产党领导的多党合作和政治协商制度，履行参政党参政议政、民主监督职责。（2）贯彻执行民革中央和民革海南省委党员代表大会的决议，并定期报告工作。（3）贯彻为国家经济建设服务的总方针，组织党员开展多种形式的社会服务活动，努力为祖国统一和经济建设服务，为促进社会主义精神文明建设服务。（4）参与中共三亚市委、市政府重大决策的协商工作；对社会重大、热点问題进行调查研究，提出建议和意见。（5）做好举荐优秀党员担任各级政府及司法机关的领导职务工作，为进一步完善民主监督机制出谋献策。（6）组织本市民革党员积极开展社会调研活动，举办各类学习班、研讨会，不断提高党员的理论水平。加强思想设、组织建设、制度建设和领导班子建设，增强参政议政能。（7）协助本市有海外关系的民革党员通过探亲、联谊等多种途径，积极向海外、港澳台同胞宣传我国的改革开放政策，促进祖国和平统一。（8）承办民革海南省委和中共三亚市委交办的其他任务。</w:t>
      </w:r>
    </w:p>
    <w:p>
      <w:pPr>
        <w:pStyle w:val="6"/>
        <w:ind w:firstLine="31680"/>
        <w:jc w:val="left"/>
        <w:outlineLvl w:val="2"/>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（二）机构设置情况</w:t>
      </w:r>
    </w:p>
    <w:p>
      <w:pPr>
        <w:pStyle w:val="6"/>
        <w:ind w:firstLine="31680"/>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中国国民党革命委员会</w:t>
      </w:r>
      <w:r>
        <w:rPr>
          <w:rFonts w:hint="default" w:ascii="Times New Roman" w:hAnsi="Times New Roman" w:eastAsia="仿宋_GB2312" w:cs="Times New Roman"/>
          <w:sz w:val="32"/>
          <w:szCs w:val="32"/>
        </w:rPr>
        <w:t>三亚市委员会内设办公室，承办三亚市委员会机关日常事务。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二、部门预算单位构成</w:t>
      </w:r>
    </w:p>
    <w:p>
      <w:pPr>
        <w:ind w:firstLine="640" w:firstLineChars="200"/>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中国国民党革命委员会</w:t>
      </w:r>
      <w:r>
        <w:rPr>
          <w:rFonts w:hint="default" w:ascii="Times New Roman" w:hAnsi="Times New Roman" w:eastAsia="仿宋_GB2312" w:cs="Times New Roman"/>
          <w:sz w:val="32"/>
          <w:szCs w:val="32"/>
        </w:rPr>
        <w:t>三亚市委员会202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年部门预算只有本级，没有二级预算单位。</w:t>
      </w:r>
    </w:p>
    <w:p>
      <w:pPr>
        <w:ind w:firstLine="640" w:firstLineChars="200"/>
        <w:jc w:val="lef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 xml:space="preserve">第二部分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三亚市委员会2024</w:t>
      </w:r>
      <w:r>
        <w:rPr>
          <w:rFonts w:hint="default" w:ascii="Times New Roman" w:hAnsi="Times New Roman" w:eastAsia="黑体" w:cs="Times New Roman"/>
          <w:sz w:val="32"/>
          <w:szCs w:val="32"/>
        </w:rPr>
        <w:t>年部门预算</w:t>
      </w:r>
      <w:r>
        <w:rPr>
          <w:rFonts w:hint="default" w:ascii="Times New Roman" w:hAnsi="Times New Roman" w:eastAsia="黑体" w:cs="Times New Roman"/>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（此部分内容即为部门预算公开表）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三亚市委员会2024</w:t>
      </w:r>
      <w:r>
        <w:rPr>
          <w:rFonts w:hint="default" w:ascii="Times New Roman" w:hAnsi="Times New Roman" w:eastAsia="黑体" w:cs="Times New Roman"/>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三亚市委员会部门2024</w:t>
      </w:r>
      <w:r>
        <w:rPr>
          <w:rFonts w:hint="default" w:ascii="Times New Roman" w:hAnsi="Times New Roman" w:eastAsia="黑体" w:cs="Times New Roman"/>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三亚市委员会部门2024</w:t>
      </w:r>
      <w:r>
        <w:rPr>
          <w:rFonts w:hint="default" w:ascii="Times New Roman" w:hAnsi="Times New Roman" w:eastAsia="仿宋_GB2312" w:cs="Times New Roman"/>
          <w:sz w:val="32"/>
          <w:szCs w:val="32"/>
        </w:rPr>
        <w:t>年财政拨款收支总预算</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万元。其中，收入总计</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万元，包括一般公共预算本年收入</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万元、上年结转</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万元，政府性基金预算本年收入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万元、上年结转</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万元；支出总计</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万元，包括一般公共服务支出</w:t>
      </w:r>
      <w:r>
        <w:rPr>
          <w:rFonts w:hint="eastAsia" w:ascii="Times New Roman" w:hAnsi="Times New Roman" w:eastAsia="仿宋_GB2312" w:cs="Times New Roman"/>
          <w:sz w:val="32"/>
          <w:szCs w:val="32"/>
          <w:lang w:val="en-US" w:eastAsia="zh-CN"/>
        </w:rPr>
        <w:t>95.53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社会保障和就业支出</w:t>
      </w:r>
      <w:r>
        <w:rPr>
          <w:rFonts w:hint="eastAsia" w:ascii="Times New Roman" w:hAnsi="Times New Roman" w:eastAsia="仿宋_GB2312" w:cs="Times New Roman"/>
          <w:sz w:val="32"/>
          <w:szCs w:val="32"/>
          <w:lang w:val="en-US" w:eastAsia="zh-CN"/>
        </w:rPr>
        <w:t>16.26</w:t>
      </w:r>
      <w:r>
        <w:rPr>
          <w:rFonts w:hint="default" w:ascii="Times New Roman" w:hAnsi="Times New Roman" w:eastAsia="仿宋_GB2312" w:cs="Times New Roman"/>
          <w:sz w:val="32"/>
          <w:szCs w:val="32"/>
          <w:lang w:val="en-US" w:eastAsia="zh-CN"/>
        </w:rPr>
        <w:t>万元、卫生健康支出</w:t>
      </w:r>
      <w:r>
        <w:rPr>
          <w:rFonts w:hint="eastAsia" w:ascii="Times New Roman" w:hAnsi="Times New Roman" w:eastAsia="仿宋_GB2312" w:cs="Times New Roman"/>
          <w:sz w:val="32"/>
          <w:szCs w:val="32"/>
          <w:lang w:val="en-US" w:eastAsia="zh-CN"/>
        </w:rPr>
        <w:t>5.16</w:t>
      </w:r>
      <w:r>
        <w:rPr>
          <w:rFonts w:hint="default" w:ascii="Times New Roman" w:hAnsi="Times New Roman" w:eastAsia="仿宋_GB2312" w:cs="Times New Roman"/>
          <w:sz w:val="32"/>
          <w:szCs w:val="32"/>
          <w:lang w:val="en-US" w:eastAsia="zh-CN"/>
        </w:rPr>
        <w:t>万元、住房保障支出</w:t>
      </w:r>
      <w:r>
        <w:rPr>
          <w:rFonts w:hint="eastAsia" w:ascii="Times New Roman" w:hAnsi="Times New Roman" w:eastAsia="仿宋_GB2312" w:cs="Times New Roman"/>
          <w:sz w:val="32"/>
          <w:szCs w:val="32"/>
          <w:lang w:val="en-US" w:eastAsia="zh-CN"/>
        </w:rPr>
        <w:t>4.15</w:t>
      </w:r>
      <w:r>
        <w:rPr>
          <w:rFonts w:hint="default" w:ascii="Times New Roman" w:hAnsi="Times New Roman" w:eastAsia="仿宋_GB2312" w:cs="Times New Roman"/>
          <w:sz w:val="32"/>
          <w:szCs w:val="32"/>
          <w:lang w:val="en-US" w:eastAsia="zh-CN"/>
        </w:rPr>
        <w:t>万元、结转下年0万元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三亚市委员会部门2024年一般公共预算当年拨款情况说明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三亚市委员会部门2024</w:t>
      </w:r>
      <w:r>
        <w:rPr>
          <w:rFonts w:hint="default" w:ascii="Times New Roman" w:hAnsi="Times New Roman" w:eastAsia="仿宋_GB2312" w:cs="Times New Roman"/>
          <w:sz w:val="32"/>
          <w:szCs w:val="32"/>
        </w:rPr>
        <w:t>年一般公共预算当年拨款</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万元，比上年预算数增加</w:t>
      </w:r>
      <w:r>
        <w:rPr>
          <w:rFonts w:hint="eastAsia" w:ascii="Times New Roman" w:hAnsi="Times New Roman" w:eastAsia="仿宋_GB2312" w:cs="Times New Roman"/>
          <w:sz w:val="32"/>
          <w:szCs w:val="32"/>
          <w:lang w:val="en-US" w:eastAsia="zh-CN"/>
        </w:rPr>
        <w:t>11.89</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人员经费增加。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（二）一般公共预算当年拨款结构情况</w:t>
      </w:r>
    </w:p>
    <w:p>
      <w:pPr>
        <w:ind w:firstLine="800" w:firstLineChars="25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一般公共服务（类）支出</w:t>
      </w:r>
      <w:r>
        <w:rPr>
          <w:rFonts w:hint="eastAsia" w:ascii="Times New Roman" w:hAnsi="Times New Roman" w:eastAsia="仿宋_GB2312" w:cs="Times New Roman"/>
          <w:sz w:val="32"/>
          <w:szCs w:val="32"/>
          <w:lang w:val="en-US" w:eastAsia="zh-CN"/>
        </w:rPr>
        <w:t>95.53</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78.88</w:t>
      </w:r>
      <w:r>
        <w:rPr>
          <w:rFonts w:hint="default" w:ascii="Times New Roman" w:hAnsi="Times New Roman" w:eastAsia="仿宋_GB2312" w:cs="Times New Roman"/>
          <w:sz w:val="32"/>
          <w:szCs w:val="32"/>
        </w:rPr>
        <w:t>%；社会保障和就业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16.26</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13.43</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5.16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占</w:t>
      </w:r>
      <w:r>
        <w:rPr>
          <w:rFonts w:hint="eastAsia" w:ascii="Times New Roman" w:hAnsi="Times New Roman" w:eastAsia="仿宋_GB2312" w:cs="Times New Roman"/>
          <w:sz w:val="32"/>
          <w:szCs w:val="32"/>
          <w:lang w:val="en-US" w:eastAsia="zh-CN"/>
        </w:rPr>
        <w:t>4.26</w:t>
      </w:r>
      <w:r>
        <w:rPr>
          <w:rFonts w:hint="default" w:ascii="Times New Roman" w:hAnsi="Times New Roman" w:eastAsia="仿宋_GB2312" w:cs="Times New Roman"/>
          <w:sz w:val="32"/>
          <w:szCs w:val="32"/>
        </w:rPr>
        <w:t>%；住房保障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w:t>
      </w:r>
      <w:r>
        <w:rPr>
          <w:rFonts w:hint="default" w:ascii="Times New Roman" w:hAnsi="Times New Roman" w:eastAsia="仿宋_GB2312" w:cs="Times New Roman"/>
          <w:color w:val="000000" w:themeColor="text1"/>
          <w:sz w:val="32"/>
          <w:szCs w:val="32"/>
          <w14:textFill>
            <w14:solidFill>
              <w14:schemeClr w14:val="tx1"/>
            </w14:solidFill>
          </w14:textFill>
        </w:rPr>
        <w:t>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4.15</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3.43</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1.一般公共服务（类）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民主党派及工商联事务</w:t>
      </w:r>
      <w:r>
        <w:rPr>
          <w:rFonts w:hint="default" w:ascii="Times New Roman" w:hAnsi="Times New Roman" w:eastAsia="仿宋_GB2312" w:cs="Times New Roman"/>
          <w:color w:val="000000" w:themeColor="text1"/>
          <w:sz w:val="32"/>
          <w:szCs w:val="32"/>
          <w14:textFill>
            <w14:solidFill>
              <w14:schemeClr w14:val="tx1"/>
            </w14:solidFill>
          </w14:textFill>
        </w:rPr>
        <w:t>（款）行政运行（项）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14:textFill>
            <w14:solidFill>
              <w14:schemeClr w14:val="tx1"/>
            </w14:solidFill>
          </w14:textFill>
        </w:rPr>
        <w:t>年预算数为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42.53</w:t>
      </w:r>
      <w:r>
        <w:rPr>
          <w:rFonts w:hint="default" w:ascii="Times New Roman" w:hAnsi="Times New Roman" w:eastAsia="仿宋_GB2312" w:cs="Times New Roman"/>
          <w:color w:val="000000" w:themeColor="text1"/>
          <w:sz w:val="32"/>
          <w:szCs w:val="32"/>
          <w14:textFill>
            <w14:solidFill>
              <w14:schemeClr w14:val="tx1"/>
            </w14:solidFill>
          </w14:textFill>
        </w:rPr>
        <w:t>万元，比上年预算数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6.05，主要是人员工资调整及正常晋升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 一般公共服务（类）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民主党派及工商联事务</w:t>
      </w:r>
      <w:r>
        <w:rPr>
          <w:rFonts w:hint="default" w:ascii="Times New Roman" w:hAnsi="Times New Roman" w:eastAsia="仿宋_GB2312" w:cs="Times New Roman"/>
          <w:color w:val="000000" w:themeColor="text1"/>
          <w:sz w:val="32"/>
          <w:szCs w:val="32"/>
          <w14:textFill>
            <w14:solidFill>
              <w14:schemeClr w14:val="tx1"/>
            </w14:solidFill>
          </w14:textFill>
        </w:rPr>
        <w:t>（款）一般行政管理事务（项）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14:textFill>
            <w14:solidFill>
              <w14:schemeClr w14:val="tx1"/>
            </w14:solidFill>
          </w14:textFill>
        </w:rPr>
        <w:t>年预算数为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48</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与</w:t>
      </w:r>
      <w:r>
        <w:rPr>
          <w:rFonts w:hint="default" w:ascii="Times New Roman" w:hAnsi="Times New Roman" w:eastAsia="仿宋_GB2312" w:cs="Times New Roman"/>
          <w:color w:val="000000" w:themeColor="text1"/>
          <w:sz w:val="32"/>
          <w:szCs w:val="32"/>
          <w14:textFill>
            <w14:solidFill>
              <w14:schemeClr w14:val="tx1"/>
            </w14:solidFill>
          </w14:textFill>
        </w:rPr>
        <w:t>上年预算数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持平，主要是没变动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ind w:firstLine="640" w:firstLineChars="200"/>
        <w:rPr>
          <w:rFonts w:hint="default" w:ascii="Times New Roman" w:hAnsi="Times New Roman" w:eastAsia="仿宋_GB2312" w:cs="Times New Roman"/>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、一般公共服务支出（类）民主党派及工商联事务（款）</w:t>
      </w:r>
      <w:r>
        <w:rPr>
          <w:rFonts w:hint="eastAsia" w:ascii="仿宋_GB2312" w:hAnsi="黑体" w:eastAsia="仿宋_GB2312" w:cs="仿宋_GB2312"/>
          <w:sz w:val="32"/>
          <w:szCs w:val="32"/>
          <w:lang w:eastAsia="zh-CN"/>
        </w:rPr>
        <w:t>参政议政</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5.00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与上年预算相持平，主要是无变动</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社会保障和就业支出（类）行政事业单位养老支出（款）机关事业单位基本养老保险缴费支出（项）</w:t>
      </w:r>
      <w:r>
        <w:rPr>
          <w:rFonts w:hint="default" w:ascii="Times New Roman" w:hAnsi="Times New Roman" w:eastAsia="仿宋_GB2312" w:cs="Times New Roman"/>
          <w:sz w:val="32"/>
          <w:szCs w:val="32"/>
          <w:lang w:val="en-US" w:eastAsia="zh-CN"/>
        </w:rPr>
        <w:t>2024年预算数为</w:t>
      </w:r>
      <w:r>
        <w:rPr>
          <w:rFonts w:hint="eastAsia" w:ascii="Times New Roman" w:hAnsi="Times New Roman" w:eastAsia="仿宋_GB2312" w:cs="Times New Roman"/>
          <w:sz w:val="32"/>
          <w:szCs w:val="32"/>
          <w:lang w:val="en-US" w:eastAsia="zh-CN"/>
        </w:rPr>
        <w:t>4.17</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比上年预算数增加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0.75</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主要是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社保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缴费基数上调</w:t>
      </w:r>
      <w:r>
        <w:rPr>
          <w:rFonts w:hint="default" w:ascii="Times New Roman" w:hAnsi="Times New Roman" w:eastAsia="仿宋_GB2312" w:cs="Times New Roman"/>
          <w:color w:val="000000" w:themeColor="text1"/>
          <w:sz w:val="32"/>
          <w:szCs w:val="32"/>
          <w14:textFill>
            <w14:solidFill>
              <w14:schemeClr w14:val="tx1"/>
            </w14:solidFill>
          </w14:textFill>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社会保障和就业支出（类）行政事业单位养老支出（款）机关事业单位</w:t>
      </w:r>
      <w:r>
        <w:rPr>
          <w:rFonts w:hint="default" w:ascii="Times New Roman" w:hAnsi="Times New Roman" w:eastAsia="仿宋_GB2312" w:cs="Times New Roman"/>
          <w:sz w:val="32"/>
          <w:szCs w:val="32"/>
          <w:lang w:val="en-US" w:eastAsia="zh-CN"/>
        </w:rPr>
        <w:t>职业年金</w:t>
      </w:r>
      <w:r>
        <w:rPr>
          <w:rFonts w:hint="default" w:ascii="Times New Roman" w:hAnsi="Times New Roman" w:eastAsia="仿宋_GB2312" w:cs="Times New Roman"/>
          <w:sz w:val="32"/>
          <w:szCs w:val="32"/>
        </w:rPr>
        <w:t>缴费支出（项）202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12.09万元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比上年预算数增加</w:t>
      </w:r>
      <w:r>
        <w:rPr>
          <w:rFonts w:hint="eastAsia" w:ascii="Times New Roman" w:hAnsi="Times New Roman" w:eastAsia="仿宋_GB2312" w:cs="Times New Roman"/>
          <w:sz w:val="32"/>
          <w:szCs w:val="32"/>
          <w:lang w:val="en-US" w:eastAsia="zh-CN"/>
        </w:rPr>
        <w:t>3.88</w:t>
      </w:r>
      <w:r>
        <w:rPr>
          <w:rFonts w:hint="default" w:ascii="Times New Roman" w:hAnsi="Times New Roman" w:eastAsia="仿宋_GB2312" w:cs="Times New Roman"/>
          <w:sz w:val="32"/>
          <w:szCs w:val="32"/>
          <w:lang w:val="en-US" w:eastAsia="zh-CN"/>
        </w:rPr>
        <w:t>万元，根据三社保〔2022〕51号文件的要求按实账征收全额供款机关事业单位职业年金缴费、单位职业年金实行实账积累</w:t>
      </w:r>
      <w:r>
        <w:rPr>
          <w:rFonts w:hint="eastAsia" w:ascii="Times New Roman" w:hAnsi="Times New Roman" w:eastAsia="仿宋_GB2312" w:cs="Times New Roman"/>
          <w:sz w:val="32"/>
          <w:szCs w:val="32"/>
          <w:lang w:val="en-US" w:eastAsia="zh-CN"/>
        </w:rPr>
        <w:t>以及社保基数上调</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卫生健康支出（类）行政事业单位医疗（款）行政单位医疗（项）202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1.71</w:t>
      </w:r>
      <w:r>
        <w:rPr>
          <w:rFonts w:hint="default" w:ascii="Times New Roman" w:hAnsi="Times New Roman" w:eastAsia="仿宋_GB2312" w:cs="Times New Roman"/>
          <w:sz w:val="32"/>
          <w:szCs w:val="32"/>
        </w:rPr>
        <w:t>万元，比上年度增加</w:t>
      </w:r>
      <w:r>
        <w:rPr>
          <w:rFonts w:hint="eastAsia" w:ascii="Times New Roman" w:hAnsi="Times New Roman" w:eastAsia="仿宋_GB2312" w:cs="Times New Roman"/>
          <w:sz w:val="32"/>
          <w:szCs w:val="32"/>
          <w:lang w:val="en-US" w:eastAsia="zh-CN"/>
        </w:rPr>
        <w:t>0.23</w:t>
      </w:r>
      <w:r>
        <w:rPr>
          <w:rFonts w:hint="default"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lang w:eastAsia="zh-CN"/>
        </w:rPr>
        <w:t>社保</w:t>
      </w:r>
      <w:r>
        <w:rPr>
          <w:rFonts w:hint="default" w:ascii="Times New Roman" w:hAnsi="Times New Roman" w:eastAsia="仿宋_GB2312" w:cs="Times New Roman"/>
          <w:sz w:val="32"/>
          <w:szCs w:val="32"/>
          <w:lang w:val="en-US" w:eastAsia="zh-CN"/>
        </w:rPr>
        <w:t>缴费基数上调</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.卫生健康支出（类）行政事业单位医疗（款）公务员医疗补助（项）202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3.46</w:t>
      </w:r>
      <w:r>
        <w:rPr>
          <w:rFonts w:hint="default" w:ascii="Times New Roman" w:hAnsi="Times New Roman" w:eastAsia="仿宋_GB2312" w:cs="Times New Roman"/>
          <w:sz w:val="32"/>
          <w:szCs w:val="32"/>
        </w:rPr>
        <w:t>万元，比上年度增加</w:t>
      </w:r>
      <w:r>
        <w:rPr>
          <w:rFonts w:hint="eastAsia" w:ascii="Times New Roman" w:hAnsi="Times New Roman" w:eastAsia="仿宋_GB2312" w:cs="Times New Roman"/>
          <w:sz w:val="32"/>
          <w:szCs w:val="32"/>
          <w:lang w:val="en-US" w:eastAsia="zh-CN"/>
        </w:rPr>
        <w:t>0.46</w:t>
      </w:r>
      <w:r>
        <w:rPr>
          <w:rFonts w:hint="default" w:ascii="Times New Roman" w:hAnsi="Times New Roman" w:eastAsia="仿宋_GB2312" w:cs="Times New Roman"/>
          <w:sz w:val="32"/>
          <w:szCs w:val="32"/>
        </w:rPr>
        <w:t>万元，主要是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人员工资调整及正常晋升，公补</w:t>
      </w:r>
      <w:r>
        <w:rPr>
          <w:rFonts w:hint="default" w:ascii="Times New Roman" w:hAnsi="Times New Roman" w:eastAsia="仿宋_GB2312" w:cs="Times New Roman"/>
          <w:sz w:val="32"/>
          <w:szCs w:val="32"/>
          <w:lang w:val="en-US" w:eastAsia="zh-CN"/>
        </w:rPr>
        <w:t>缴费基数上调</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.住房保障支出（类）住房改革支出（款）住房公积金（项）202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4.15</w:t>
      </w:r>
      <w:r>
        <w:rPr>
          <w:rFonts w:hint="default" w:ascii="Times New Roman" w:hAnsi="Times New Roman" w:eastAsia="仿宋_GB2312" w:cs="Times New Roman"/>
          <w:sz w:val="32"/>
          <w:szCs w:val="32"/>
        </w:rPr>
        <w:t>万元，比上年度增加</w:t>
      </w:r>
      <w:r>
        <w:rPr>
          <w:rFonts w:hint="eastAsia" w:ascii="Times New Roman" w:hAnsi="Times New Roman" w:eastAsia="仿宋_GB2312" w:cs="Times New Roman"/>
          <w:sz w:val="32"/>
          <w:szCs w:val="32"/>
          <w:lang w:val="en-US" w:eastAsia="zh-CN"/>
        </w:rPr>
        <w:t>0.55</w:t>
      </w:r>
      <w:r>
        <w:rPr>
          <w:rFonts w:hint="default"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lang w:eastAsia="zh-CN"/>
        </w:rPr>
        <w:t>公积金</w:t>
      </w:r>
      <w:r>
        <w:rPr>
          <w:rFonts w:hint="default" w:ascii="Times New Roman" w:hAnsi="Times New Roman" w:eastAsia="仿宋_GB2312" w:cs="Times New Roman"/>
          <w:sz w:val="32"/>
          <w:szCs w:val="32"/>
          <w:lang w:val="en-US" w:eastAsia="zh-CN"/>
        </w:rPr>
        <w:t>缴费基数上调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三亚市委员会部门2024</w:t>
      </w:r>
      <w:r>
        <w:rPr>
          <w:rFonts w:hint="default" w:ascii="Times New Roman" w:hAnsi="Times New Roman" w:eastAsia="仿宋_GB2312" w:cs="Times New Roman"/>
          <w:sz w:val="32"/>
          <w:szCs w:val="32"/>
        </w:rPr>
        <w:t>年一般公共预算基本支出为</w:t>
      </w:r>
      <w:r>
        <w:rPr>
          <w:rFonts w:hint="eastAsia" w:ascii="Times New Roman" w:hAnsi="Times New Roman" w:eastAsia="仿宋_GB2312" w:cs="Times New Roman"/>
          <w:sz w:val="32"/>
          <w:szCs w:val="32"/>
          <w:lang w:val="en-US" w:eastAsia="zh-CN"/>
        </w:rPr>
        <w:t>68.09</w:t>
      </w:r>
      <w:r>
        <w:rPr>
          <w:rFonts w:hint="default" w:ascii="Times New Roman" w:hAnsi="Times New Roman" w:eastAsia="仿宋_GB2312" w:cs="Times New Roman"/>
          <w:sz w:val="32"/>
          <w:szCs w:val="32"/>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人员经费</w:t>
      </w:r>
      <w:r>
        <w:rPr>
          <w:rFonts w:hint="eastAsia" w:ascii="Times New Roman" w:hAnsi="Times New Roman" w:eastAsia="仿宋_GB2312" w:cs="Times New Roman"/>
          <w:sz w:val="32"/>
          <w:szCs w:val="32"/>
          <w:lang w:val="en-US" w:eastAsia="zh-CN"/>
        </w:rPr>
        <w:t>61.70</w:t>
      </w:r>
      <w:r>
        <w:rPr>
          <w:rFonts w:hint="default" w:ascii="Times New Roman" w:hAnsi="Times New Roman" w:eastAsia="仿宋_GB2312" w:cs="Times New Roman"/>
          <w:sz w:val="32"/>
          <w:szCs w:val="32"/>
        </w:rPr>
        <w:t>万元，主要包括：基本工资、津贴补贴、奖金、</w:t>
      </w:r>
      <w:r>
        <w:rPr>
          <w:rFonts w:hint="default" w:ascii="Times New Roman" w:hAnsi="Times New Roman" w:eastAsia="仿宋_GB2312" w:cs="Times New Roman"/>
          <w:sz w:val="32"/>
          <w:szCs w:val="32"/>
          <w:lang w:val="en-US" w:eastAsia="zh-CN"/>
        </w:rPr>
        <w:t>机关事业单位基本养老保险缴费、职业年金缴费、职工基本医疗保险缴费、公务员医疗补助缴费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其他社会保障缴费、住房公积金、医疗费、其他工资福利支出、邮电费、其他交通费</w:t>
      </w:r>
      <w:r>
        <w:rPr>
          <w:rFonts w:hint="eastAsia" w:ascii="Times New Roman" w:hAnsi="Times New Roman" w:eastAsia="仿宋_GB2312" w:cs="Times New Roman"/>
          <w:sz w:val="32"/>
          <w:szCs w:val="32"/>
          <w:lang w:val="en-US" w:eastAsia="zh-CN"/>
        </w:rPr>
        <w:t>用、奖励金。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公用经费</w:t>
      </w:r>
      <w:r>
        <w:rPr>
          <w:rFonts w:hint="eastAsia" w:ascii="Times New Roman" w:hAnsi="Times New Roman" w:eastAsia="仿宋_GB2312" w:cs="Times New Roman"/>
          <w:sz w:val="32"/>
          <w:szCs w:val="32"/>
          <w:lang w:val="en-US" w:eastAsia="zh-CN"/>
        </w:rPr>
        <w:t>6.40</w:t>
      </w:r>
      <w:r>
        <w:rPr>
          <w:rFonts w:hint="default" w:ascii="Times New Roman" w:hAnsi="Times New Roman" w:eastAsia="仿宋_GB2312" w:cs="Times New Roman"/>
          <w:sz w:val="32"/>
          <w:szCs w:val="32"/>
        </w:rPr>
        <w:t>万元，主要包括：</w:t>
      </w:r>
      <w:r>
        <w:rPr>
          <w:rFonts w:hint="default" w:ascii="Times New Roman" w:hAnsi="Times New Roman" w:eastAsia="仿宋_GB2312" w:cs="Times New Roman"/>
          <w:sz w:val="32"/>
          <w:szCs w:val="32"/>
          <w:lang w:val="en-US" w:eastAsia="zh-CN"/>
        </w:rPr>
        <w:t>其他社会保障缴费、商品和服务支出、</w:t>
      </w:r>
      <w:r>
        <w:rPr>
          <w:rFonts w:hint="default" w:ascii="Times New Roman" w:hAnsi="Times New Roman" w:eastAsia="仿宋_GB2312" w:cs="Times New Roman"/>
          <w:sz w:val="32"/>
          <w:szCs w:val="32"/>
        </w:rPr>
        <w:t>办公费、</w:t>
      </w:r>
      <w:r>
        <w:rPr>
          <w:rFonts w:hint="default" w:ascii="Times New Roman" w:hAnsi="Times New Roman" w:eastAsia="仿宋_GB2312" w:cs="Times New Roman"/>
          <w:sz w:val="32"/>
          <w:szCs w:val="32"/>
          <w:lang w:val="en-US" w:eastAsia="zh-CN"/>
        </w:rPr>
        <w:t>会议费、培训费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工会经费、福利费、公务用车运行维护费、其他商品和服务支出</w:t>
      </w:r>
      <w:r>
        <w:rPr>
          <w:rFonts w:hint="eastAsia" w:ascii="Times New Roman" w:hAnsi="Times New Roman" w:eastAsia="仿宋_GB2312" w:cs="Times New Roman"/>
          <w:sz w:val="32"/>
          <w:szCs w:val="32"/>
          <w:lang w:val="en-US" w:eastAsia="zh-CN"/>
        </w:rPr>
        <w:t>、其他对个人和家庭的补助</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年“三公”经费预算情况说明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w:t>
      </w:r>
      <w:r>
        <w:rPr>
          <w:rFonts w:hint="eastAsia" w:ascii="Times New Roman" w:hAnsi="Times New Roman" w:eastAsia="楷体" w:cs="Times New Roman"/>
          <w:sz w:val="32"/>
          <w:szCs w:val="32"/>
          <w:lang w:val="en-US" w:eastAsia="zh-CN"/>
        </w:rPr>
        <w:t>中国国民党革命委员会</w:t>
      </w:r>
      <w:r>
        <w:rPr>
          <w:rFonts w:hint="default" w:ascii="Times New Roman" w:hAnsi="Times New Roman" w:eastAsia="楷体" w:cs="Times New Roman"/>
          <w:sz w:val="32"/>
          <w:szCs w:val="32"/>
          <w:lang w:val="en-US" w:eastAsia="zh-CN"/>
        </w:rPr>
        <w:t>三亚市委员会</w:t>
      </w:r>
      <w:r>
        <w:rPr>
          <w:rFonts w:hint="default" w:ascii="Times New Roman" w:hAnsi="Times New Roman" w:eastAsia="楷体" w:cs="Times New Roman"/>
          <w:sz w:val="32"/>
          <w:szCs w:val="32"/>
        </w:rPr>
        <w:t>部门</w:t>
      </w:r>
      <w:r>
        <w:rPr>
          <w:rFonts w:hint="default" w:ascii="Times New Roman" w:hAnsi="Times New Roman" w:eastAsia="楷体" w:cs="Times New Roman"/>
          <w:sz w:val="32"/>
          <w:szCs w:val="32"/>
          <w:lang w:val="en-US" w:eastAsia="zh-CN"/>
        </w:rPr>
        <w:t>2024</w:t>
      </w:r>
      <w:r>
        <w:rPr>
          <w:rFonts w:hint="default" w:ascii="Times New Roman" w:hAnsi="Times New Roman" w:eastAsia="楷体" w:cs="Times New Roman"/>
          <w:sz w:val="32"/>
          <w:szCs w:val="32"/>
        </w:rPr>
        <w:t>年一般公共预算“三公”经费预算数为</w:t>
      </w:r>
      <w:r>
        <w:rPr>
          <w:rFonts w:hint="eastAsia" w:ascii="Times New Roman" w:hAnsi="Times New Roman" w:eastAsia="楷体" w:cs="Times New Roman"/>
          <w:sz w:val="32"/>
          <w:szCs w:val="32"/>
          <w:lang w:val="en-US" w:eastAsia="zh-CN"/>
        </w:rPr>
        <w:t>4.85</w:t>
      </w:r>
      <w:r>
        <w:rPr>
          <w:rFonts w:hint="default" w:ascii="Times New Roman" w:hAnsi="Times New Roman" w:eastAsia="楷体" w:cs="Times New Roman"/>
          <w:sz w:val="32"/>
          <w:szCs w:val="32"/>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因公出国（境）经费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万元，与上年预算持平。根据</w:t>
      </w:r>
      <w:r>
        <w:rPr>
          <w:rFonts w:hint="default"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安排的</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年出国计划，拟安排出国（境）团（组）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人。出国（境）团组主要包括：1.</w:t>
      </w:r>
      <w:r>
        <w:rPr>
          <w:rFonts w:hint="eastAsia"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团组：目的地为</w:t>
      </w:r>
      <w:r>
        <w:rPr>
          <w:rFonts w:hint="eastAsia"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，人数为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人，天数为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天，主要任务</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；公务用车购置及运行费</w:t>
      </w:r>
      <w:r>
        <w:rPr>
          <w:rFonts w:hint="eastAsia" w:ascii="Times New Roman" w:hAnsi="Times New Roman" w:eastAsia="仿宋_GB2312" w:cs="Times New Roman"/>
          <w:sz w:val="32"/>
          <w:szCs w:val="32"/>
          <w:lang w:val="en-US" w:eastAsia="zh-CN"/>
        </w:rPr>
        <w:t>2.51</w:t>
      </w:r>
      <w:r>
        <w:rPr>
          <w:rFonts w:hint="default" w:ascii="Times New Roman" w:hAnsi="Times New Roman" w:eastAsia="仿宋_GB2312" w:cs="Times New Roman"/>
          <w:sz w:val="32"/>
          <w:szCs w:val="32"/>
        </w:rPr>
        <w:t>万元（其中，公务用车购置费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万元，公务用车运行维护费</w:t>
      </w:r>
      <w:r>
        <w:rPr>
          <w:rFonts w:hint="eastAsia" w:ascii="Times New Roman" w:hAnsi="Times New Roman" w:eastAsia="仿宋_GB2312" w:cs="Times New Roman"/>
          <w:sz w:val="32"/>
          <w:szCs w:val="32"/>
          <w:lang w:val="en-US" w:eastAsia="zh-CN"/>
        </w:rPr>
        <w:t>2.51</w:t>
      </w:r>
      <w:r>
        <w:rPr>
          <w:rFonts w:hint="default" w:ascii="Times New Roman" w:hAnsi="Times New Roman" w:eastAsia="仿宋_GB2312" w:cs="Times New Roman"/>
          <w:sz w:val="32"/>
          <w:szCs w:val="32"/>
        </w:rPr>
        <w:t>万元），与上年预算持平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公务车保有量</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辆，计划购置</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辆；公务接待费</w:t>
      </w:r>
      <w:r>
        <w:rPr>
          <w:rFonts w:hint="eastAsia" w:ascii="Times New Roman" w:hAnsi="Times New Roman" w:eastAsia="仿宋_GB2312" w:cs="Times New Roman"/>
          <w:sz w:val="32"/>
          <w:szCs w:val="32"/>
          <w:lang w:val="en-US" w:eastAsia="zh-CN"/>
        </w:rPr>
        <w:t>2.34</w:t>
      </w:r>
      <w:r>
        <w:rPr>
          <w:rFonts w:hint="default" w:ascii="Times New Roman" w:hAnsi="Times New Roman" w:eastAsia="仿宋_GB2312" w:cs="Times New Roman"/>
          <w:sz w:val="32"/>
          <w:szCs w:val="32"/>
        </w:rPr>
        <w:t>万元，与上年预算持平。计划接待</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批</w:t>
      </w:r>
      <w:r>
        <w:rPr>
          <w:rFonts w:hint="eastAsia" w:ascii="Times New Roman" w:hAnsi="Times New Roman" w:eastAsia="仿宋_GB2312" w:cs="Times New Roman"/>
          <w:sz w:val="32"/>
          <w:szCs w:val="32"/>
          <w:lang w:val="en-US" w:eastAsia="zh-CN"/>
        </w:rPr>
        <w:t>120</w:t>
      </w:r>
      <w:r>
        <w:rPr>
          <w:rFonts w:hint="default"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w:t>
      </w:r>
      <w:r>
        <w:rPr>
          <w:rFonts w:hint="eastAsia" w:ascii="Times New Roman" w:hAnsi="Times New Roman" w:eastAsia="楷体" w:cs="Times New Roman"/>
          <w:sz w:val="32"/>
          <w:szCs w:val="32"/>
          <w:lang w:val="en-US" w:eastAsia="zh-CN"/>
        </w:rPr>
        <w:t>中国国民党革命委员会</w:t>
      </w:r>
      <w:r>
        <w:rPr>
          <w:rFonts w:hint="default" w:ascii="Times New Roman" w:hAnsi="Times New Roman" w:eastAsia="楷体" w:cs="Times New Roman"/>
          <w:sz w:val="32"/>
          <w:szCs w:val="32"/>
          <w:lang w:val="en-US" w:eastAsia="zh-CN"/>
        </w:rPr>
        <w:t>三亚市委员会</w:t>
      </w:r>
      <w:r>
        <w:rPr>
          <w:rFonts w:hint="default" w:ascii="Times New Roman" w:hAnsi="Times New Roman" w:eastAsia="楷体" w:cs="Times New Roman"/>
          <w:sz w:val="32"/>
          <w:szCs w:val="32"/>
        </w:rPr>
        <w:t>部门</w:t>
      </w:r>
      <w:r>
        <w:rPr>
          <w:rFonts w:hint="default" w:ascii="Times New Roman" w:hAnsi="Times New Roman" w:eastAsia="楷体" w:cs="Times New Roman"/>
          <w:sz w:val="32"/>
          <w:szCs w:val="32"/>
          <w:lang w:val="en-US" w:eastAsia="zh-CN"/>
        </w:rPr>
        <w:t>2024</w:t>
      </w:r>
      <w:r>
        <w:rPr>
          <w:rFonts w:hint="default" w:ascii="Times New Roman" w:hAnsi="Times New Roman" w:eastAsia="楷体" w:cs="Times New Roman"/>
          <w:sz w:val="32"/>
          <w:szCs w:val="32"/>
        </w:rPr>
        <w:t>年政府性基金预算“三公”经费预算数为</w:t>
      </w:r>
      <w:r>
        <w:rPr>
          <w:rFonts w:hint="default" w:ascii="Times New Roman" w:hAnsi="Times New Roman" w:eastAsia="楷体" w:cs="Times New Roman"/>
          <w:sz w:val="32"/>
          <w:szCs w:val="32"/>
          <w:lang w:val="en-US" w:eastAsia="zh-CN"/>
        </w:rPr>
        <w:t>0</w:t>
      </w:r>
      <w:r>
        <w:rPr>
          <w:rFonts w:hint="default" w:ascii="Times New Roman" w:hAnsi="Times New Roman" w:eastAsia="楷体" w:cs="Times New Roman"/>
          <w:sz w:val="32"/>
          <w:szCs w:val="32"/>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因公出国（境）经费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万元，与上年预算持平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安排的</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年出国计划，拟安排出国（境）组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人。出国（境）团组主要包括：1.</w:t>
      </w:r>
      <w:r>
        <w:rPr>
          <w:rFonts w:hint="eastAsia"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团组：目的地为</w:t>
      </w:r>
      <w:r>
        <w:rPr>
          <w:rFonts w:hint="eastAsia"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，人数为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人，天数为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天，主要任务</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；公务用车购置及运行费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万元（其中，公务用车购置费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万元，公务用车运行维护费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万元），与上年预算持平。公务接待费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年政府性基金预算当年拨款情况说明</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default" w:ascii="Times New Roman" w:hAnsi="Times New Roman" w:eastAsia="仿宋_GB2312" w:cs="Times New Roman"/>
          <w:sz w:val="32"/>
          <w:szCs w:val="32"/>
        </w:rPr>
        <w:t>部门</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年政府性基金预算当年拨款</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万元，比上年预算数持平。</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本单位2024年无政府性基金预算，因此无拨款结构情况。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本单位2024年无政府性基金预算，因此无拨款具体使用情况。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年收支预算情况的总体说明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按照综合预算原则，</w:t>
      </w: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default" w:ascii="Times New Roman" w:hAnsi="Times New Roman" w:eastAsia="仿宋_GB2312" w:cs="Times New Roman"/>
          <w:sz w:val="32"/>
          <w:szCs w:val="32"/>
        </w:rPr>
        <w:t>部门所有收入和支出均纳入部门预算管理。收入包括：一般公共预算收入；支出包括：一般公共服务支出、社会保障和就业支出、卫生健康支出、住房保障支出。</w:t>
      </w:r>
      <w:r>
        <w:rPr>
          <w:rFonts w:hint="eastAsia" w:ascii="Times New Roman" w:hAnsi="Times New Roman" w:eastAsia="仿宋_GB2312" w:cs="Times New Roman"/>
          <w:sz w:val="32"/>
          <w:szCs w:val="32"/>
          <w:lang w:eastAsia="zh-CN"/>
        </w:rPr>
        <w:t>中国国民党革命委员会</w:t>
      </w:r>
      <w:r>
        <w:rPr>
          <w:rFonts w:hint="default" w:ascii="Times New Roman" w:hAnsi="Times New Roman" w:eastAsia="仿宋_GB2312" w:cs="Times New Roman"/>
          <w:sz w:val="32"/>
          <w:szCs w:val="32"/>
        </w:rPr>
        <w:t>三亚市委员会202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年收支总预算</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年收入预算情况说明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default" w:ascii="Times New Roman" w:hAnsi="Times New Roman" w:eastAsia="仿宋_GB2312" w:cs="Times New Roman"/>
          <w:sz w:val="32"/>
          <w:szCs w:val="32"/>
        </w:rPr>
        <w:t>部门</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年收入预算</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万元，其中：上年结转</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%；经费拨款收入</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%；政府性基金收入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%；专项收入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%。比上年预算数增加</w:t>
      </w:r>
      <w:r>
        <w:rPr>
          <w:rFonts w:hint="eastAsia" w:ascii="Times New Roman" w:hAnsi="Times New Roman" w:eastAsia="仿宋_GB2312" w:cs="Times New Roman"/>
          <w:sz w:val="32"/>
          <w:szCs w:val="32"/>
          <w:lang w:val="en-US" w:eastAsia="zh-CN"/>
        </w:rPr>
        <w:t>11.89</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人员经费增加。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八、关于</w:t>
      </w:r>
      <w:r>
        <w:rPr>
          <w:rFonts w:hint="eastAsia" w:ascii="Times New Roman" w:hAnsi="Times New Roman" w:eastAsia="黑体" w:cs="Times New Roman"/>
          <w:sz w:val="32"/>
          <w:szCs w:val="32"/>
          <w:lang w:val="en-US" w:eastAsia="zh-CN"/>
        </w:rPr>
        <w:t>中国国民党革命委员会</w:t>
      </w:r>
      <w:r>
        <w:rPr>
          <w:rFonts w:hint="default" w:ascii="Times New Roman" w:hAnsi="Times New Roman" w:eastAsia="黑体" w:cs="Times New Roman"/>
          <w:sz w:val="32"/>
          <w:szCs w:val="32"/>
          <w:lang w:val="en-US" w:eastAsia="zh-CN"/>
        </w:rPr>
        <w:t>三亚市委员会</w:t>
      </w:r>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val="en-US" w:eastAsia="zh-CN"/>
        </w:rPr>
        <w:t>2024</w:t>
      </w:r>
      <w:r>
        <w:rPr>
          <w:rFonts w:hint="default" w:ascii="Times New Roman" w:hAnsi="Times New Roman" w:eastAsia="黑体" w:cs="Times New Roman"/>
          <w:sz w:val="32"/>
          <w:szCs w:val="32"/>
        </w:rPr>
        <w:t>年支出预算情况说明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default" w:ascii="Times New Roman" w:hAnsi="Times New Roman" w:eastAsia="仿宋_GB2312" w:cs="Times New Roman"/>
          <w:sz w:val="32"/>
          <w:szCs w:val="32"/>
        </w:rPr>
        <w:t>部门</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121.09</w:t>
      </w:r>
      <w:r>
        <w:rPr>
          <w:rFonts w:hint="default"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68.10</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56.30</w:t>
      </w:r>
      <w:r>
        <w:rPr>
          <w:rFonts w:hint="default"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53</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43.70</w:t>
      </w:r>
      <w:r>
        <w:rPr>
          <w:rFonts w:hint="default" w:ascii="Times New Roman" w:hAnsi="Times New Roman" w:eastAsia="仿宋_GB2312" w:cs="Times New Roman"/>
          <w:sz w:val="32"/>
          <w:szCs w:val="32"/>
        </w:rPr>
        <w:t>%。比上年预算数增加</w:t>
      </w:r>
      <w:r>
        <w:rPr>
          <w:rFonts w:hint="eastAsia" w:ascii="Times New Roman" w:hAnsi="Times New Roman" w:eastAsia="仿宋_GB2312" w:cs="Times New Roman"/>
          <w:sz w:val="32"/>
          <w:szCs w:val="32"/>
          <w:lang w:val="en-US" w:eastAsia="zh-CN"/>
        </w:rPr>
        <w:t>11.89</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val="en-US" w:eastAsia="zh-CN"/>
        </w:rPr>
        <w:t>人员经费增加。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（一）机关运行经费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中国国民党革命委员会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三亚市委员会</w:t>
      </w:r>
      <w:r>
        <w:rPr>
          <w:rFonts w:hint="default" w:ascii="Times New Roman" w:hAnsi="Times New Roman" w:eastAsia="仿宋_GB2312" w:cs="Times New Roman"/>
          <w:color w:val="000000" w:themeColor="text1"/>
          <w:sz w:val="32"/>
          <w:szCs w:val="32"/>
          <w14:textFill>
            <w14:solidFill>
              <w14:schemeClr w14:val="tx1"/>
            </w14:solidFill>
          </w14:textFill>
        </w:rPr>
        <w:t>部门机关运行经费预算</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6.40</w:t>
      </w:r>
      <w:r>
        <w:rPr>
          <w:rFonts w:hint="default" w:ascii="Times New Roman" w:hAnsi="Times New Roman" w:eastAsia="仿宋_GB2312" w:cs="Times New Roman"/>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default" w:ascii="Times New Roman" w:hAnsi="Times New Roman" w:eastAsia="仿宋_GB2312" w:cs="Times New Roman"/>
          <w:sz w:val="32"/>
          <w:szCs w:val="32"/>
        </w:rPr>
        <w:t>部门政府采购预算总额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万元，其中：政府采购货物预算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万元，政府采购工程预算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年12月31日，</w:t>
      </w:r>
      <w:r>
        <w:rPr>
          <w:rFonts w:hint="eastAsia" w:ascii="Times New Roman" w:hAnsi="Times New Roman" w:eastAsia="仿宋_GB2312" w:cs="Times New Roman"/>
          <w:sz w:val="32"/>
          <w:szCs w:val="32"/>
          <w:lang w:val="en-US" w:eastAsia="zh-CN"/>
        </w:rPr>
        <w:t>中国国民党革命委员会</w:t>
      </w:r>
      <w:r>
        <w:rPr>
          <w:rFonts w:hint="default" w:ascii="Times New Roman" w:hAnsi="Times New Roman" w:eastAsia="仿宋_GB2312" w:cs="Times New Roman"/>
          <w:sz w:val="32"/>
          <w:szCs w:val="32"/>
          <w:lang w:val="en-US" w:eastAsia="zh-CN"/>
        </w:rPr>
        <w:t>三亚市委员会</w:t>
      </w:r>
      <w:r>
        <w:rPr>
          <w:rFonts w:hint="default" w:ascii="Times New Roman" w:hAnsi="Times New Roman" w:eastAsia="仿宋_GB2312" w:cs="Times New Roman"/>
          <w:sz w:val="32"/>
          <w:szCs w:val="32"/>
        </w:rPr>
        <w:t>部门本级共有车辆</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辆，机要通信应急用车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辆、一般执法执勤用车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辆、特种专业技术用车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辆。单位价值100万元以上设备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中国国民党革命委员会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三亚市委员会</w:t>
      </w:r>
      <w:r>
        <w:rPr>
          <w:rFonts w:hint="default" w:ascii="Times New Roman" w:hAnsi="Times New Roman" w:eastAsia="仿宋_GB2312" w:cs="Times New Roman"/>
          <w:color w:val="000000" w:themeColor="text1"/>
          <w:sz w:val="32"/>
          <w:szCs w:val="32"/>
          <w14:textFill>
            <w14:solidFill>
              <w14:schemeClr w14:val="tx1"/>
            </w14:solidFill>
          </w14:textFill>
        </w:rPr>
        <w:t>部门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14:textFill>
            <w14:solidFill>
              <w14:schemeClr w14:val="tx1"/>
            </w14:solidFill>
          </w14:textFill>
        </w:rPr>
        <w:t>个项目实行绩效目标管理，涉及一般公共预算</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121.09</w:t>
      </w:r>
      <w:r>
        <w:rPr>
          <w:rFonts w:hint="default" w:ascii="Times New Roman" w:hAnsi="Times New Roman" w:eastAsia="仿宋_GB2312" w:cs="Times New Roman"/>
          <w:color w:val="000000" w:themeColor="text1"/>
          <w:sz w:val="32"/>
          <w:szCs w:val="32"/>
          <w14:textFill>
            <w14:solidFill>
              <w14:schemeClr w14:val="tx1"/>
            </w14:solidFill>
          </w14:textFill>
        </w:rPr>
        <w:t>万元、政府性基金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其中，重点项目预算绩效情况：</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1.综合运行事务项目，预算安排48万元，主要用于开展活动，组织培训，召开各类会议等，绩效目标是活动参与人数大于等于50人，出、列席会议人数大于等于人次。党员培训满意度大于等于70% 。</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2.参政议政项目，预算安排5万元，主要用于组织20名党员赴省外开展观故居活动，组织党员进行专题课题调研，并完成调研报告。绩效目标是完成调研报告数量大于等于1篇，调研次数大于等于3次，提高参政议政影响力。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对个人和家庭的补助支出：反映政府用于对个人和家庭的补助支出，包括离休费、退休费、退职（役）费、抚恤金、生活补助、救济费、医疗费补助、助学金、独生子女奖励金、个人农业生产补贴、代缴社会保险费、其他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MjZkOGU0Njg2MzY0MTlhZGJjMDgxNmIwNGVlMWUifQ=="/>
  </w:docVars>
  <w:rsids>
    <w:rsidRoot w:val="553A26E0"/>
    <w:rsid w:val="009D04D4"/>
    <w:rsid w:val="04C83EAE"/>
    <w:rsid w:val="086A4011"/>
    <w:rsid w:val="091A3A4C"/>
    <w:rsid w:val="0B8C21F5"/>
    <w:rsid w:val="0C7E718C"/>
    <w:rsid w:val="0DF83603"/>
    <w:rsid w:val="0EF1674C"/>
    <w:rsid w:val="11431937"/>
    <w:rsid w:val="13E12C8B"/>
    <w:rsid w:val="13E34871"/>
    <w:rsid w:val="17176704"/>
    <w:rsid w:val="19E07BA9"/>
    <w:rsid w:val="1C217C69"/>
    <w:rsid w:val="1C784AE9"/>
    <w:rsid w:val="20487DED"/>
    <w:rsid w:val="206B1F7D"/>
    <w:rsid w:val="216D75F4"/>
    <w:rsid w:val="23A21768"/>
    <w:rsid w:val="258A5D71"/>
    <w:rsid w:val="25972C58"/>
    <w:rsid w:val="263E784D"/>
    <w:rsid w:val="26F833CA"/>
    <w:rsid w:val="29AD1964"/>
    <w:rsid w:val="2A5926AF"/>
    <w:rsid w:val="2B8072A0"/>
    <w:rsid w:val="2D70297A"/>
    <w:rsid w:val="2EB96821"/>
    <w:rsid w:val="2EBB2370"/>
    <w:rsid w:val="2F503D87"/>
    <w:rsid w:val="32560AB3"/>
    <w:rsid w:val="341900A1"/>
    <w:rsid w:val="35E61050"/>
    <w:rsid w:val="388E0AD8"/>
    <w:rsid w:val="39566783"/>
    <w:rsid w:val="39742DD3"/>
    <w:rsid w:val="3B6E55A9"/>
    <w:rsid w:val="3B8B76C1"/>
    <w:rsid w:val="3BC97282"/>
    <w:rsid w:val="3F025492"/>
    <w:rsid w:val="40B87E0F"/>
    <w:rsid w:val="41DB3B14"/>
    <w:rsid w:val="42296A6A"/>
    <w:rsid w:val="42664A8F"/>
    <w:rsid w:val="42FD06E1"/>
    <w:rsid w:val="495A305E"/>
    <w:rsid w:val="496A6E38"/>
    <w:rsid w:val="4F816E67"/>
    <w:rsid w:val="505C5C60"/>
    <w:rsid w:val="52F50B63"/>
    <w:rsid w:val="553A26E0"/>
    <w:rsid w:val="554515C5"/>
    <w:rsid w:val="587F1715"/>
    <w:rsid w:val="58F5454D"/>
    <w:rsid w:val="5E384BC3"/>
    <w:rsid w:val="64790728"/>
    <w:rsid w:val="648324E1"/>
    <w:rsid w:val="6511735D"/>
    <w:rsid w:val="65243E3D"/>
    <w:rsid w:val="65C21C5B"/>
    <w:rsid w:val="67071D63"/>
    <w:rsid w:val="676001C2"/>
    <w:rsid w:val="69F258B2"/>
    <w:rsid w:val="6C7853D4"/>
    <w:rsid w:val="78487BCC"/>
    <w:rsid w:val="7DC62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 w:type="paragraph" w:customStyle="1" w:styleId="6">
    <w:name w:val="List Paragraph1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2024-01-26T07:27:00Z</dcterms:created>
  <dc:creator>林小靖</dc:creator>
  <cp:lastModifiedBy>海</cp:lastModifiedBy>
  <dcterms:modified xsi:type="dcterms:W3CDTF">2024-02-02T01:21:48Z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B19B0BB3999245CDBA94B55F98425B3F_11</vt:lpwstr>
  </property>
</Properties>
</file>